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5112"/>
        <w:gridCol w:w="5112"/>
      </w:tblGrid>
      <w:tr>
        <w:tc>
          <w:tcPr>
            <w:tcW w:type="dxa" w:w="5112"/>
            <w:shd w:fill="EEF2F5"/>
          </w:tcPr>
          <w:p>
            <w:r>
              <w:rPr>
                <w:b/>
              </w:rPr>
              <w:t>Reference</w:t>
            </w:r>
          </w:p>
        </w:tc>
        <w:tc>
          <w:tcPr>
            <w:tcW w:type="dxa" w:w="5112"/>
          </w:tcPr>
          <w:p>
            <w:r>
              <w:t>Privacy Notice - Visitors and Contractors</w:t>
            </w:r>
          </w:p>
        </w:tc>
      </w:tr>
      <w:tr>
        <w:tc>
          <w:tcPr>
            <w:tcW w:type="dxa" w:w="5112"/>
            <w:shd w:fill="EEF2F5"/>
          </w:tcPr>
          <w:p>
            <w:r>
              <w:rPr>
                <w:b/>
              </w:rPr>
              <w:t>Version</w:t>
            </w:r>
          </w:p>
        </w:tc>
        <w:tc>
          <w:tcPr>
            <w:tcW w:type="dxa" w:w="5112"/>
          </w:tcPr>
          <w:p>
            <w:r>
              <w:t>4</w:t>
            </w:r>
          </w:p>
        </w:tc>
      </w:tr>
      <w:tr>
        <w:tc>
          <w:tcPr>
            <w:tcW w:type="dxa" w:w="5112"/>
            <w:shd w:fill="EEF2F5"/>
          </w:tcPr>
          <w:p>
            <w:r>
              <w:rPr>
                <w:b/>
              </w:rPr>
              <w:t>Version date</w:t>
            </w:r>
          </w:p>
        </w:tc>
        <w:tc>
          <w:tcPr>
            <w:tcW w:type="dxa" w:w="5112"/>
          </w:tcPr>
          <w:p>
            <w:r>
              <w:t>August 2026</w:t>
            </w:r>
          </w:p>
        </w:tc>
      </w:tr>
      <w:tr>
        <w:tc>
          <w:tcPr>
            <w:tcW w:type="dxa" w:w="5112"/>
            <w:shd w:fill="EEF2F5"/>
          </w:tcPr>
          <w:p>
            <w:r>
              <w:rPr>
                <w:b/>
              </w:rPr>
              <w:t>Review date</w:t>
            </w:r>
          </w:p>
        </w:tc>
        <w:tc>
          <w:tcPr>
            <w:tcW w:type="dxa" w:w="5112"/>
          </w:tcPr>
          <w:p>
            <w:r>
              <w:t>August 2027</w:t>
            </w:r>
          </w:p>
        </w:tc>
      </w:tr>
      <w:tr>
        <w:tc>
          <w:tcPr>
            <w:tcW w:type="dxa" w:w="5112"/>
            <w:shd w:fill="EEF2F5"/>
          </w:tcPr>
          <w:p>
            <w:r>
              <w:rPr>
                <w:b/>
              </w:rPr>
              <w:t>Status</w:t>
            </w:r>
          </w:p>
        </w:tc>
        <w:tc>
          <w:tcPr>
            <w:tcW w:type="dxa" w:w="5112"/>
          </w:tcPr>
          <w:p>
            <w:r>
              <w:t>Final - August 2026</w:t>
            </w:r>
          </w:p>
        </w:tc>
      </w:tr>
    </w:tbl>
    <w:p>
      <w:pPr>
        <w:jc w:val="center"/>
      </w:pPr>
      <w:r>
        <w:rPr>
          <w:b/>
          <w:sz w:val="36"/>
        </w:rPr>
        <w:t>THE HAYLING COLLEGE</w:t>
      </w:r>
    </w:p>
    <w:p>
      <w:pPr>
        <w:jc w:val="center"/>
      </w:pPr>
      <w:r>
        <w:rPr>
          <w:b/>
          <w:sz w:val="46"/>
        </w:rPr>
        <w:t>PRIVACY NOTICE</w:t>
      </w:r>
    </w:p>
    <w:p>
      <w:pPr>
        <w:jc w:val="center"/>
      </w:pPr>
      <w:r>
        <w:rPr>
          <w:b/>
          <w:sz w:val="34"/>
        </w:rPr>
        <w:t>VISITORS AND CONTRACTORS</w:t>
      </w:r>
    </w:p>
    <w:p>
      <w:pPr>
        <w:jc w:val="center"/>
      </w:pPr>
      <w:r>
        <w:rPr>
          <w:b/>
          <w:i/>
        </w:rPr>
        <w:t>Happy, Healthy, High Performing</w:t>
      </w:r>
    </w:p>
    <w:p>
      <w:r>
        <w:br w:type="page"/>
      </w:r>
    </w:p>
    <w:p>
      <w:pPr>
        <w:pStyle w:val="Heading1"/>
      </w:pPr>
      <w:r>
        <w:t>Document owner and review</w:t>
      </w:r>
    </w:p>
    <w:p>
      <w:r>
        <w:t>The Hayling College is the data controller and owner of this notice. We review privacy notices at least annually and whenever there is a significant change to how personal information is used.</w:t>
      </w:r>
    </w:p>
    <w:tbl>
      <w:tblPr>
        <w:tblStyle w:val="TableGrid"/>
        <w:tblW w:type="auto" w:w="0"/>
        <w:tblLook w:firstColumn="1" w:firstRow="1" w:lastColumn="0" w:lastRow="0" w:noHBand="0" w:noVBand="1" w:val="04A0"/>
      </w:tblPr>
      <w:tblGrid>
        <w:gridCol w:w="3408"/>
        <w:gridCol w:w="3408"/>
        <w:gridCol w:w="3408"/>
      </w:tblGrid>
      <w:tr>
        <w:tc>
          <w:tcPr>
            <w:tcW w:type="dxa" w:w="3408"/>
            <w:shd w:fill="EEF2F5"/>
          </w:tcPr>
          <w:p>
            <w:r>
              <w:rPr>
                <w:b/>
              </w:rPr>
              <w:t>Version</w:t>
            </w:r>
          </w:p>
        </w:tc>
        <w:tc>
          <w:tcPr>
            <w:tcW w:type="dxa" w:w="3408"/>
            <w:shd w:fill="EEF2F5"/>
          </w:tcPr>
          <w:p>
            <w:r>
              <w:rPr>
                <w:b/>
              </w:rPr>
              <w:t>Date</w:t>
            </w:r>
          </w:p>
        </w:tc>
        <w:tc>
          <w:tcPr>
            <w:tcW w:type="dxa" w:w="3408"/>
            <w:shd w:fill="EEF2F5"/>
          </w:tcPr>
          <w:p>
            <w:r>
              <w:rPr>
                <w:b/>
              </w:rPr>
              <w:t>Summary</w:t>
            </w:r>
          </w:p>
        </w:tc>
      </w:tr>
      <w:tr>
        <w:tc>
          <w:tcPr>
            <w:tcW w:type="dxa" w:w="3408"/>
          </w:tcPr>
          <w:p>
            <w:r>
              <w:t>3</w:t>
            </w:r>
          </w:p>
        </w:tc>
        <w:tc>
          <w:tcPr>
            <w:tcW w:type="dxa" w:w="3408"/>
          </w:tcPr>
          <w:p>
            <w:r>
              <w:t>May 2024</w:t>
            </w:r>
          </w:p>
        </w:tc>
        <w:tc>
          <w:tcPr>
            <w:tcW w:type="dxa" w:w="3408"/>
          </w:tcPr>
          <w:p>
            <w:r>
              <w:t>Previous Judicium-based notice.</w:t>
            </w:r>
          </w:p>
        </w:tc>
      </w:tr>
      <w:tr>
        <w:tc>
          <w:tcPr>
            <w:tcW w:type="dxa" w:w="3408"/>
          </w:tcPr>
          <w:p>
            <w:r>
              <w:t>4</w:t>
            </w:r>
          </w:p>
        </w:tc>
        <w:tc>
          <w:tcPr>
            <w:tcW w:type="dxa" w:w="3408"/>
          </w:tcPr>
          <w:p>
            <w:r>
              <w:t>August 2026</w:t>
            </w:r>
          </w:p>
        </w:tc>
        <w:tc>
          <w:tcPr>
            <w:tcW w:type="dxa" w:w="3408"/>
          </w:tcPr>
          <w:p>
            <w:r>
              <w:t>Updated for DfE 2026-27 models, current ICO guidance and the Data (Use and Access) Act 2025.</w:t>
            </w:r>
          </w:p>
        </w:tc>
      </w:tr>
    </w:tbl>
    <w:p>
      <w:pPr>
        <w:pStyle w:val="Heading1"/>
      </w:pPr>
      <w:r>
        <w:t>About this notice</w:t>
      </w:r>
    </w:p>
    <w:p>
      <w:r>
        <w:t>This notice explains how The Hayling College collects, uses, stores and shares personal information about visitors, volunteers, contractors and other people attending or working temporarily on our site. It reflects the UK GDPR, the Data Protection Act 2018 as amended, including the Data (Use and Access) Act 2025, and relevant law.</w:t>
      </w:r>
    </w:p>
    <w:p>
      <w:r>
        <w:t>The Hayling College is the data controller. We decide why and how personal information is used and are responsible for using it lawfully, fairly, transparently and securely.</w:t>
      </w:r>
    </w:p>
    <w:p>
      <w:pPr>
        <w:pStyle w:val="Heading1"/>
      </w:pPr>
      <w:r>
        <w:t>Data protection principles</w:t>
      </w:r>
    </w:p>
    <w:p>
      <w:pPr>
        <w:pStyle w:val="ListBullet"/>
      </w:pPr>
      <w:r>
        <w:t>lawfulness, fairness and transparency;</w:t>
      </w:r>
    </w:p>
    <w:p>
      <w:pPr>
        <w:pStyle w:val="ListBullet"/>
      </w:pPr>
      <w:r>
        <w:t>purpose limitation;</w:t>
      </w:r>
    </w:p>
    <w:p>
      <w:pPr>
        <w:pStyle w:val="ListBullet"/>
      </w:pPr>
      <w:r>
        <w:t>data minimisation;</w:t>
      </w:r>
    </w:p>
    <w:p>
      <w:pPr>
        <w:pStyle w:val="ListBullet"/>
      </w:pPr>
      <w:r>
        <w:t>accuracy;</w:t>
      </w:r>
    </w:p>
    <w:p>
      <w:pPr>
        <w:pStyle w:val="ListBullet"/>
      </w:pPr>
      <w:r>
        <w:t>storage limitation;</w:t>
      </w:r>
    </w:p>
    <w:p>
      <w:pPr>
        <w:pStyle w:val="ListBullet"/>
      </w:pPr>
      <w:r>
        <w:t>integrity and confidentiality; and</w:t>
      </w:r>
    </w:p>
    <w:p>
      <w:pPr>
        <w:pStyle w:val="ListBullet"/>
      </w:pPr>
      <w:r>
        <w:t>accountability.</w:t>
      </w:r>
    </w:p>
    <w:p>
      <w:pPr>
        <w:pStyle w:val="Heading1"/>
      </w:pPr>
      <w:r>
        <w:t>Information we may collect</w:t>
      </w:r>
    </w:p>
    <w:p>
      <w:pPr>
        <w:pStyle w:val="ListBullet"/>
      </w:pPr>
      <w:r>
        <w:t>name, title, organisation/company and contact details;</w:t>
      </w:r>
    </w:p>
    <w:p>
      <w:pPr>
        <w:pStyle w:val="ListBullet"/>
      </w:pPr>
      <w:r>
        <w:t>purpose of visit, host, arrival/departure times and visitor badge records;</w:t>
      </w:r>
    </w:p>
    <w:p>
      <w:pPr>
        <w:pStyle w:val="ListBullet"/>
      </w:pPr>
      <w:r>
        <w:t>vehicle registration where needed;</w:t>
      </w:r>
    </w:p>
    <w:p>
      <w:pPr>
        <w:pStyle w:val="ListBullet"/>
      </w:pPr>
      <w:r>
        <w:t>photograph or identification details where used for visitor management;</w:t>
      </w:r>
    </w:p>
    <w:p>
      <w:pPr>
        <w:pStyle w:val="ListBullet"/>
      </w:pPr>
      <w:r>
        <w:t>DBS, safeguarding, right-to-work or vetting information where legally appropriate to the role;</w:t>
      </w:r>
    </w:p>
    <w:p>
      <w:pPr>
        <w:pStyle w:val="ListBullet"/>
      </w:pPr>
      <w:r>
        <w:t>accessibility, health, emergency or evacuation information where needed;</w:t>
      </w:r>
    </w:p>
    <w:p>
      <w:pPr>
        <w:pStyle w:val="ListBullet"/>
      </w:pPr>
      <w:r>
        <w:t>CCTV and access-control information;</w:t>
      </w:r>
    </w:p>
    <w:p>
      <w:pPr>
        <w:pStyle w:val="ListBullet"/>
      </w:pPr>
      <w:r>
        <w:t>use of College guest networks, systems or devices where applicable; and</w:t>
      </w:r>
    </w:p>
    <w:p>
      <w:pPr>
        <w:pStyle w:val="ListBullet"/>
      </w:pPr>
      <w:r>
        <w:t>contract, invoice or business contact information for contractors/suppliers.</w:t>
      </w:r>
    </w:p>
    <w:p>
      <w:pPr>
        <w:pStyle w:val="Heading1"/>
      </w:pPr>
      <w:r>
        <w:t>Why we use visitor and contractor information</w:t>
      </w:r>
    </w:p>
    <w:p>
      <w:pPr>
        <w:pStyle w:val="ListBullet"/>
      </w:pPr>
      <w:r>
        <w:t>keep pupils, staff and visitors safe and meet safeguarding duties;</w:t>
      </w:r>
    </w:p>
    <w:p>
      <w:pPr>
        <w:pStyle w:val="ListBullet"/>
      </w:pPr>
      <w:r>
        <w:t>control and record access to the site;</w:t>
      </w:r>
    </w:p>
    <w:p>
      <w:pPr>
        <w:pStyle w:val="ListBullet"/>
      </w:pPr>
      <w:r>
        <w:t>meet health and safety and emergency-planning duties;</w:t>
      </w:r>
    </w:p>
    <w:p>
      <w:pPr>
        <w:pStyle w:val="ListBullet"/>
      </w:pPr>
      <w:r>
        <w:t>administer contractor/supplier relationships and site works;</w:t>
      </w:r>
    </w:p>
    <w:p>
      <w:pPr>
        <w:pStyle w:val="ListBullet"/>
      </w:pPr>
      <w:r>
        <w:t>verify identity, suitability or vetting where required;</w:t>
      </w:r>
    </w:p>
    <w:p>
      <w:pPr>
        <w:pStyle w:val="ListBullet"/>
      </w:pPr>
      <w:r>
        <w:t>protect premises, IT systems and information;</w:t>
      </w:r>
    </w:p>
    <w:p>
      <w:pPr>
        <w:pStyle w:val="ListBullet"/>
      </w:pPr>
      <w:r>
        <w:t>investigate incidents, complaints, security events or legal claims; and</w:t>
      </w:r>
    </w:p>
    <w:p>
      <w:pPr>
        <w:pStyle w:val="ListBullet"/>
      </w:pPr>
      <w:r>
        <w:t>meet regulatory, insurance and legal obligations.</w:t>
      </w:r>
    </w:p>
    <w:p>
      <w:pPr>
        <w:pStyle w:val="Heading1"/>
      </w:pPr>
      <w:r>
        <w:t>Lawful bases</w:t>
      </w:r>
    </w:p>
    <w:p>
      <w:r>
        <w:t>Depending on the circumstances, we rely on legal obligation, public task, contract, legitimate interests, vital interests or consent. Special category or criminal-offence information is used only where an additional legal condition applies.</w:t>
      </w:r>
    </w:p>
    <w:p>
      <w:pPr>
        <w:pStyle w:val="Heading1"/>
      </w:pPr>
      <w:r>
        <w:t>How we collect information</w:t>
      </w:r>
    </w:p>
    <w:p>
      <w:r>
        <w:t>Information may be provided by you, your employer or organisation, our electronic sign-in or access-control systems, CCTV, DBS or other public authorities where lawful, and College IT/security systems where you use them.</w:t>
      </w:r>
    </w:p>
    <w:p>
      <w:pPr>
        <w:pStyle w:val="Heading1"/>
      </w:pPr>
      <w:r>
        <w:t>Who we share information with</w:t>
      </w:r>
    </w:p>
    <w:p>
      <w:pPr>
        <w:pStyle w:val="ListBullet"/>
      </w:pPr>
      <w:r>
        <w:t>your employer or contracting organisation where appropriate;</w:t>
      </w:r>
    </w:p>
    <w:p>
      <w:pPr>
        <w:pStyle w:val="ListBullet"/>
      </w:pPr>
      <w:r>
        <w:t>Hampshire County Council and other public authorities where required;</w:t>
      </w:r>
    </w:p>
    <w:p>
      <w:pPr>
        <w:pStyle w:val="ListBullet"/>
      </w:pPr>
      <w:r>
        <w:t>police, emergency services, safeguarding partners and LADO where lawful;</w:t>
      </w:r>
    </w:p>
    <w:p>
      <w:pPr>
        <w:pStyle w:val="ListBullet"/>
      </w:pPr>
      <w:r>
        <w:t>Disclosure and Barring Service where applicable;</w:t>
      </w:r>
    </w:p>
    <w:p>
      <w:pPr>
        <w:pStyle w:val="ListBullet"/>
      </w:pPr>
      <w:r>
        <w:t>professional advisers, insurers and legal representatives; and</w:t>
      </w:r>
    </w:p>
    <w:p>
      <w:pPr>
        <w:pStyle w:val="ListBullet"/>
      </w:pPr>
      <w:r>
        <w:t>approved visitor-management, CCTV, access-control, IT, security, facilities and other service providers.</w:t>
      </w:r>
    </w:p>
    <w:p>
      <w:pPr>
        <w:pStyle w:val="Heading1"/>
      </w:pPr>
      <w:r>
        <w:t>CCTV, access control and site security</w:t>
      </w:r>
    </w:p>
    <w:p>
      <w:r>
        <w:t>CCTV and access-control systems are used for safeguarding, safety, prevention/detection of crime and protection of College property. Access to recordings and logs is restricted and information is retained in line with the College's retention arrangements.</w:t>
      </w:r>
    </w:p>
    <w:p>
      <w:pPr>
        <w:pStyle w:val="Heading1"/>
      </w:pPr>
      <w:r>
        <w:t>Use of College IT or guest networks</w:t>
      </w:r>
    </w:p>
    <w:p>
      <w:r>
        <w:t>If you use College systems, devices or guest networks, technical and security logs may be created. These may be monitored for cyber security, safeguarding, acceptable use and investigation of incidents.</w:t>
      </w:r>
    </w:p>
    <w:p>
      <w:pPr>
        <w:pStyle w:val="Heading1"/>
      </w:pPr>
      <w:r>
        <w:t>Automated decision-making</w:t>
      </w:r>
    </w:p>
    <w:p>
      <w:r>
        <w:t>The College does not routinely make decisions about visitors or contractors with legal or similarly significant effects solely by automated means.</w:t>
      </w:r>
    </w:p>
    <w:p>
      <w:pPr>
        <w:pStyle w:val="Heading1"/>
      </w:pPr>
      <w:r>
        <w:t>International transfers</w:t>
      </w:r>
    </w:p>
    <w:p>
      <w:r>
        <w:t>Some approved service providers may process information outside the UK. Where this happens, an appropriate UK data-transfer mechanism or other lawful safeguard will be used.</w:t>
      </w:r>
    </w:p>
    <w:p>
      <w:pPr>
        <w:pStyle w:val="Heading1"/>
      </w:pPr>
      <w:r>
        <w:t>Retention and security</w:t>
      </w:r>
    </w:p>
    <w:p>
      <w:r>
        <w:t>We retain visitor and contractor information only for as long as needed for safeguarding, safety, contractual, legal, insurance or security purposes and in line with the College's Data Retention Policy / retention schedule. Appropriate security and role-based access controls are used.</w:t>
      </w:r>
    </w:p>
    <w:p>
      <w:pPr>
        <w:pStyle w:val="Heading1"/>
      </w:pPr>
      <w:r>
        <w:t>Your information rights</w:t>
      </w:r>
    </w:p>
    <w:p>
      <w:r>
        <w:t>Which rights apply depends on the lawful basis and circumstances of the processing.</w:t>
      </w:r>
    </w:p>
    <w:p>
      <w:pPr>
        <w:pStyle w:val="ListBullet"/>
      </w:pPr>
      <w:r>
        <w:t>right to be informed;</w:t>
      </w:r>
    </w:p>
    <w:p>
      <w:pPr>
        <w:pStyle w:val="ListBullet"/>
      </w:pPr>
      <w:r>
        <w:t>right of access;</w:t>
      </w:r>
    </w:p>
    <w:p>
      <w:pPr>
        <w:pStyle w:val="ListBullet"/>
      </w:pPr>
      <w:r>
        <w:t>right to rectification;</w:t>
      </w:r>
    </w:p>
    <w:p>
      <w:pPr>
        <w:pStyle w:val="ListBullet"/>
      </w:pPr>
      <w:r>
        <w:t>right to erasure in certain circumstances;</w:t>
      </w:r>
    </w:p>
    <w:p>
      <w:pPr>
        <w:pStyle w:val="ListBullet"/>
      </w:pPr>
      <w:r>
        <w:t>right to restrict processing in certain circumstances;</w:t>
      </w:r>
    </w:p>
    <w:p>
      <w:pPr>
        <w:pStyle w:val="ListBullet"/>
      </w:pPr>
      <w:r>
        <w:t>right to object in certain circumstances;</w:t>
      </w:r>
    </w:p>
    <w:p>
      <w:pPr>
        <w:pStyle w:val="ListBullet"/>
      </w:pPr>
      <w:r>
        <w:t>right to data portability where applicable;</w:t>
      </w:r>
    </w:p>
    <w:p>
      <w:pPr>
        <w:pStyle w:val="ListBullet"/>
      </w:pPr>
      <w:r>
        <w:t>rights relating to automated decision-making and profiling;</w:t>
      </w:r>
    </w:p>
    <w:p>
      <w:pPr>
        <w:pStyle w:val="ListBullet"/>
      </w:pPr>
      <w:r>
        <w:t>right to withdraw consent where consent is relied upon; and</w:t>
      </w:r>
    </w:p>
    <w:p>
      <w:pPr>
        <w:pStyle w:val="ListBullet"/>
      </w:pPr>
      <w:r>
        <w:t>right to complain about the use of your personal information.</w:t>
      </w:r>
    </w:p>
    <w:p>
      <w:pPr>
        <w:pStyle w:val="Heading1"/>
      </w:pPr>
      <w:r>
        <w:t>Questions, concerns and data protection complaints</w:t>
      </w:r>
    </w:p>
    <w:p>
      <w:r>
        <w:t>Contact the College at admin@hayling.hants.sch.uk. For a formal complaint, use the subject line 'Data Protection Complaint'.</w:t>
      </w:r>
    </w:p>
    <w:p>
      <w:r>
        <w:t>Under the Data (Use and Access) Act 2025, we will acknowledge a data protection complaint within 30 days, investigate appropriately and respond without undue delay.</w:t>
      </w:r>
    </w:p>
    <w:p>
      <w:r>
        <w:t>The Hayling College Data Protection Officer is Helen Cox. She can be contacted through the College at admin@hayling.hants.sch.uk or on 023 9246 6241. The College also receives specialist data protection support from Judicium Consulting Limited: dataservices@judicium.com | www.judiciumeducation.co.uk | 0345 548 7000 (option 1).</w:t>
      </w:r>
    </w:p>
    <w:p>
      <w:r>
        <w:t>You also have the right to complain to the Information Commissioner's Office (ICO).</w:t>
      </w:r>
    </w:p>
    <w:p>
      <w:pPr>
        <w:pStyle w:val="Heading1"/>
      </w:pPr>
      <w:r>
        <w:t>Keeping this notice current</w:t>
      </w:r>
    </w:p>
    <w:p>
      <w:r>
        <w:t>We review this notice at least annually and sooner when processing changes significantly. The current version will be available through the College website and/or visitor sign-in arrangements.</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The Hayling College | Privacy Notice - Visitors and Contractors |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